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0"/>
      </w:tblGrid>
      <w:tr>
        <w:trPr>
          <w:trHeight w:val="35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Research Theme: Computational Biology; </w:t>
            </w: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AI; MIcrobiology</w:t>
            </w:r>
          </w:p>
        </w:tc>
      </w:tr>
      <w:tr>
        <w:trPr>
          <w:trHeight w:val="62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PhD Research Project Title: </w:t>
            </w:r>
          </w:p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ascii="Calibri" w:hAnsi="Calibri" w:cs="Calibri"/>
                <w:color w:val="000000"/>
              </w:rPr>
            </w:pPr>
            <w:bookmarkStart w:id="0" w:name="docs-internal-guid-daa228a2-7fff-1649-89"/>
            <w:bookmarkEnd w:id="0"/>
            <w:r>
              <w:rPr>
                <w:rFonts w:eastAsia="宋体" w:cs="Calibri" w:ascii="Helvetica Neue;sans-serif" w:hAnsi="Helvetica Neue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Predicting Bacterial Environmental Sensing via AI to Enhance Bacteria-Based  </w:t>
            </w:r>
            <w:r>
              <w:rPr>
                <w:rFonts w:eastAsia="宋体" w:cs="Calibri" w:ascii="Helvetica Neue;sans-serif" w:hAnsi="Helvetica Neue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Cancer </w:t>
            </w:r>
            <w:r>
              <w:rPr>
                <w:rFonts w:eastAsia="宋体" w:cs="Calibri" w:ascii="Helvetica Neue;sans-serif" w:hAnsi="Helvetica Neue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Therapy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en-SG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</w:tc>
      </w:tr>
      <w:tr>
        <w:trPr>
          <w:trHeight w:val="35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Scholarship category (Please indicate the source of funding for this project):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280" w:after="0"/>
              <w:jc w:val="left"/>
              <w:rPr>
                <w:rFonts w:ascii="Calibri,Bold" w:hAnsi="Calibri,Bold" w:eastAsia="宋体" w:cs="Calibri,Bold" w:eastAsiaTheme="minorEastAsia"/>
                <w:b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宋体" w:cs="Calibri,Bold" w:ascii="Calibri,Bold" w:hAnsi="Calibri,Bold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SBS Research Student Scholarship (for SBS faculty only)</w:t>
            </w:r>
          </w:p>
        </w:tc>
      </w:tr>
      <w:tr>
        <w:trPr>
          <w:trHeight w:val="35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Principal Investigator/Supervisor: </w:t>
            </w: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Anni Zhang</w:t>
            </w:r>
          </w:p>
        </w:tc>
      </w:tr>
      <w:tr>
        <w:trPr>
          <w:trHeight w:val="35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 xml:space="preserve">Co-supervisor/ Collaborator(s) (if any): </w:t>
            </w:r>
          </w:p>
        </w:tc>
      </w:tr>
      <w:tr>
        <w:trPr>
          <w:trHeight w:val="980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Project Description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00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a) Background: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00"/>
              </w:rPr>
            </w:pPr>
            <w:bookmarkStart w:id="1" w:name="docs-internal-guid-31aa6d94-7fff-2d24-34"/>
            <w:bookmarkEnd w:id="1"/>
            <w:r>
              <w:rPr>
                <w:rFonts w:eastAsia="宋体" w:cs="Calibri,Bold" w:ascii="Helvetica Neue;sans-serif" w:hAnsi="Helvetica Neu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Cancer is the leading cause of death in Singapore, responsible for 28.2% of all deaths from 2017 to 2021 (National Registry of Diseases Office 2023). Bacteria-based cancer therapy aims to mitigate the side effects of contemporary cancer therapy via engineered bacteria. However, a critical challenge remains: to precisely focus the bacteria to effectively target a tumor without damaging the host (Nemunaitis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et al.</w:t>
            </w:r>
            <w:r>
              <w:rPr>
                <w:rFonts w:eastAsia="宋体" w:cs="Calibri,Bold" w:ascii="Calibri,Bold" w:hAnsi="Calibri,Bold"/>
                <w:b w:val="false"/>
                <w:bCs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2003; Le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et al.</w:t>
            </w:r>
            <w:r>
              <w:rPr>
                <w:rFonts w:eastAsia="宋体" w:cs="Calibri,Bold" w:ascii="Calibri,Bold" w:hAnsi="Calibri,Bold"/>
                <w:b w:val="false"/>
                <w:bCs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2015). The precise control of microbes can be done by engineering bacteria to detect tumor-specific environmental signals and subsequently activate anticancer drug production via two-component systems. While many studies have been conducted to identify environmental stimuli that activate two-component systems, such as transcriptomic experiments under various stimuli (Xie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et al.</w:t>
            </w:r>
            <w:r>
              <w:rPr>
                <w:rFonts w:eastAsia="宋体" w:cs="Calibri,Bold" w:ascii="Calibri,Bold" w:hAnsi="Calibri,Bold"/>
                <w:b w:val="false"/>
                <w:bCs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2022), most of them only test one two-component system or one bacterial strain. Computational prediction is challenging due to the significant diversity of sensing domains in two-component systems (Zschiedrich, Keidel and Szurmant 2016), which are responsible for binding environmental stimuli. Thus, neither experimental nor computational methods can efficiently predict two-component systems in bacteria that respond to particular environmental signals. Thus, there exists a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/>
                <w:caps w:val="false"/>
                <w:smallCaps w:val="false"/>
                <w:color w:val="000000"/>
                <w:kern w:val="0"/>
                <w:sz w:val="20"/>
                <w:szCs w:val="22"/>
                <w:u w:val="single"/>
                <w:shd w:fill="auto" w:val="clear"/>
                <w:lang w:val="en-US" w:eastAsia="zh-CN" w:bidi="ar-SA"/>
              </w:rPr>
              <w:t>critical need</w:t>
            </w:r>
            <w:r>
              <w:rPr>
                <w:rFonts w:eastAsia="宋体" w:cs="Calibri,Bold" w:ascii="Calibri,Bold" w:hAnsi="Calibri,Bold"/>
                <w:b w:val="false"/>
                <w:bCs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Calibri,Bold" w:ascii="Helvetica Neue;sans-serif" w:hAnsi="Helvetica Neue;sans-serif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to design novel methods that effectively predict the binding interaction between environmental stimuli, e.g. chemical ligands, and the sensing domains of two-component systems. In the absence of such methods, moving bacteria-based cancer therapy beyond preclinical models to clinical use remains a formidable challenge.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00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,Bold" w:hAnsi="Calibri,Bold" w:cs="Calibri,Bold"/>
                <w:b/>
                <w:b/>
                <w:bCs/>
                <w:color w:val="000000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b) Proposed work: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  <w:p>
            <w:pPr>
              <w:pStyle w:val="TextBody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b w:val="false"/>
                <w:kern w:val="0"/>
                <w:sz w:val="22"/>
                <w:szCs w:val="22"/>
                <w:lang w:val="en-US" w:eastAsia="zh-CN" w:bidi="ar-SA"/>
              </w:rPr>
            </w:pPr>
            <w:bookmarkStart w:id="2" w:name="docs-internal-guid-194fbc49-7fff-548c-ef"/>
            <w:bookmarkEnd w:id="2"/>
            <w:r>
              <w:rPr>
                <w:rFonts w:eastAsia="宋体" w:cs=""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Our </w:t>
            </w:r>
            <w:r>
              <w:rPr>
                <w:rFonts w:eastAsia="宋体" w:cs="" w:ascii="Helvetica Neue;sans-serif" w:hAnsi="Helvetica Neue;sans-serif"/>
                <w:b w:val="false"/>
                <w:i/>
                <w:caps w:val="false"/>
                <w:smallCaps w:val="false"/>
                <w:color w:val="000000"/>
                <w:kern w:val="0"/>
                <w:sz w:val="20"/>
                <w:szCs w:val="22"/>
                <w:u w:val="single"/>
                <w:shd w:fill="auto" w:val="clear"/>
                <w:lang w:val="en-US" w:eastAsia="zh-CN" w:bidi="ar-SA"/>
              </w:rPr>
              <w:t>long-term goal</w:t>
            </w:r>
            <w:r>
              <w:rPr>
                <w:rFonts w:eastAsia="宋体" w:cs=""/>
                <w:b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"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is to design advanced bacteria genomes guided by AI computation to enhance tumor sensing and drug production in bacterial-based cancer therapies. Our </w:t>
            </w:r>
            <w:r>
              <w:rPr>
                <w:rFonts w:eastAsia="宋体" w:cs="" w:ascii="Helvetica Neue;sans-serif" w:hAnsi="Helvetica Neue;sans-serif"/>
                <w:b w:val="false"/>
                <w:i/>
                <w:caps w:val="false"/>
                <w:smallCaps w:val="false"/>
                <w:color w:val="000000"/>
                <w:kern w:val="0"/>
                <w:sz w:val="20"/>
                <w:szCs w:val="22"/>
                <w:u w:val="single"/>
                <w:shd w:fill="auto" w:val="clear"/>
                <w:lang w:val="en-US" w:eastAsia="zh-CN" w:bidi="ar-SA"/>
              </w:rPr>
              <w:t>overall objective in this proposal</w:t>
            </w:r>
            <w:r>
              <w:rPr>
                <w:rFonts w:eastAsia="宋体" w:cs=""/>
                <w:b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"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is to design computational methods to predict binding affinity between diverse environmental stimuli and bacterial two-component systems. Our </w:t>
            </w:r>
            <w:r>
              <w:rPr>
                <w:rFonts w:eastAsia="宋体" w:cs="" w:ascii="Helvetica Neue;sans-serif" w:hAnsi="Helvetica Neue;sans-serif"/>
                <w:b w:val="false"/>
                <w:i/>
                <w:caps w:val="false"/>
                <w:smallCaps w:val="false"/>
                <w:color w:val="000000"/>
                <w:kern w:val="0"/>
                <w:sz w:val="20"/>
                <w:szCs w:val="22"/>
                <w:u w:val="single"/>
                <w:shd w:fill="auto" w:val="clear"/>
                <w:lang w:val="en-US" w:eastAsia="zh-CN" w:bidi="ar-SA"/>
              </w:rPr>
              <w:t>central hypothesis</w:t>
            </w:r>
            <w:r>
              <w:rPr>
                <w:rFonts w:eastAsia="宋体" w:cs=""/>
                <w:b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2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宋体" w:cs=""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0"/>
                <w:sz w:val="20"/>
                <w:szCs w:val="22"/>
                <w:u w:val="none"/>
                <w:effect w:val="none"/>
                <w:shd w:fill="auto" w:val="clear"/>
                <w:lang w:val="en-US" w:eastAsia="zh-CN" w:bidi="ar-SA"/>
              </w:rPr>
              <w:t>is that AI models, such as language models and deep learning methods, allow accurate prediction of binding affinity between environmental chemical ligands and sensing domains of two-component systems, especially under-characterized ones with limited prior knowledge. We have based our central hypothesis upon previous work:</w:t>
            </w:r>
          </w:p>
          <w:p>
            <w:pPr>
              <w:pStyle w:val="TextBody"/>
              <w:numPr>
                <w:ilvl w:val="0"/>
                <w:numId w:val="2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120" w:after="120"/>
              <w:ind w:left="709" w:hanging="283"/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 study using the deep learning model trained on protein and ligand sequences outperformed traditional methods in predicting protein–ligand binding affinity, achieving a strong correlation (R = 0.789) between predicted and experimentally measured values (Wang </w:t>
            </w:r>
            <w:r>
              <w:rPr>
                <w:rFonts w:ascii="Helvetica Neue;sans-serif" w:hAnsi="Helvetica Neue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et al.</w:t>
            </w: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 2021).</w:t>
            </w:r>
          </w:p>
          <w:p>
            <w:pPr>
              <w:pStyle w:val="TextBody"/>
              <w:numPr>
                <w:ilvl w:val="0"/>
                <w:numId w:val="2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120" w:after="120"/>
              <w:ind w:left="709" w:hanging="283"/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Deep neural network models exhibited exceptional predictive performance in protein-ligand binding affinity (Pearson’s r = 0.83 and Root Mean Square Error of 1.23 compared to the experimental results) (Rezaei </w:t>
            </w:r>
            <w:r>
              <w:rPr>
                <w:rFonts w:ascii="Helvetica Neue;sans-serif" w:hAnsi="Helvetica Neue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et al.</w:t>
            </w: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 2020).</w:t>
            </w:r>
          </w:p>
          <w:p>
            <w:pPr>
              <w:pStyle w:val="TextBody"/>
              <w:numPr>
                <w:ilvl w:val="0"/>
                <w:numId w:val="2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120" w:after="120"/>
              <w:ind w:left="709" w:hanging="283"/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A interpretable machine learning model accurately predicted binding affinity between transcription factors and DNA (Pearson’s r2 ranging from 0.974 to 0.998 compared to experimental measurements) (Rube </w:t>
            </w:r>
            <w:r>
              <w:rPr>
                <w:rFonts w:ascii="Helvetica Neue;sans-serif" w:hAnsi="Helvetica Neue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et al.</w:t>
            </w: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 2022).</w:t>
            </w:r>
          </w:p>
          <w:p>
            <w:pPr>
              <w:pStyle w:val="TextBody"/>
              <w:numPr>
                <w:ilvl w:val="0"/>
                <w:numId w:val="2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120" w:after="120"/>
              <w:ind w:left="709" w:hanging="283"/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Fine-tuning pretrained language models on protein-ligand binding datasets resulted in high predictive accuracy for binding affinity (correlation R ranging from 0.722-0.737 between the predicted and experimental data) (Zhang </w:t>
            </w:r>
            <w:r>
              <w:rPr>
                <w:rFonts w:ascii="Helvetica Neue;sans-serif" w:hAnsi="Helvetica Neue;sans-serif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et al.</w:t>
            </w:r>
            <w:r>
              <w:rPr>
                <w:rFonts w:ascii="Helvetica Neue;sans-serif" w:hAnsi="Helvetica Neue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 xml:space="preserve"> 2023).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宋体" w:cs="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c) Preferred skills: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宋体" w:cs="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A curiosity about microbes;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宋体" w:cs="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An interest in coding;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宋体" w:cs=""/>
                <w:b/>
                <w:bCs/>
                <w:kern w:val="0"/>
                <w:sz w:val="22"/>
                <w:szCs w:val="22"/>
                <w:lang w:val="en-US" w:eastAsia="zh-CN" w:bidi="ar-SA"/>
              </w:rPr>
              <w:t>A dedication to research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宋体" w:cs="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</w:tc>
      </w:tr>
      <w:tr>
        <w:trPr/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Supervisor contact: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,Bold" w:hAnsi="Calibri,Bold" w:cs="Calibri,Bold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If you have questions regarding this project, please email the Principal Investigator: </w:t>
            </w:r>
            <w:r>
              <w:rPr>
                <w:rFonts w:eastAsia="宋体" w:cs="Calibri,Bold" w:ascii="Calibri,Bold" w:hAnsi="Calibri,Bold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anni.zhang@ntu.edu.sg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宋体" w:cs="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0"/>
                <w:sz w:val="22"/>
                <w:szCs w:val="22"/>
                <w:lang w:val="en-US" w:eastAsia="zh-CN" w:bidi="ar-SA"/>
              </w:rPr>
            </w:r>
          </w:p>
        </w:tc>
      </w:tr>
      <w:tr>
        <w:trPr/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,Bold" w:hAnsi="Calibri,Bold" w:cs="Calibri,Bold"/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SBS contact and how to apply: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Associate Chair-Biological Sciences (Graduate Studies) : </w:t>
            </w:r>
            <w:hyperlink r:id="rId2">
              <w:r>
                <w:rPr>
                  <w:rStyle w:val="InternetLink"/>
                  <w:rFonts w:eastAsia="宋体" w:cs="Calibri"/>
                  <w:kern w:val="0"/>
                  <w:sz w:val="24"/>
                  <w:szCs w:val="24"/>
                  <w:lang w:val="en-US" w:eastAsia="zh-CN" w:bidi="ar-SA"/>
                </w:rPr>
                <w:t>AC-SBS-GS@ntu.edu.sg</w:t>
              </w:r>
            </w:hyperlink>
            <w:r>
              <w:rPr>
                <w:rFonts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Please apply at the following: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/>
            </w:pPr>
            <w:r>
              <w:rPr>
                <w:rFonts w:eastAsia="宋体" w:cs="Calibri,Bold" w:ascii="Calibri,Bold" w:hAnsi="Calibri,Bold"/>
                <w:b/>
                <w:bCs/>
                <w:color w:val="0000FF"/>
                <w:kern w:val="0"/>
                <w:sz w:val="24"/>
                <w:szCs w:val="24"/>
                <w:lang w:val="en-US" w:eastAsia="zh-CN" w:bidi="ar-SA"/>
              </w:rPr>
              <w:t>Application portal:</w:t>
            </w:r>
            <w:r>
              <w:rPr>
                <w:rFonts w:eastAsia="宋体" w:cs="Calibri"/>
                <w:color w:val="1F497D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hyperlink r:id="rId3">
              <w:r>
                <w:rPr>
                  <w:rStyle w:val="InternetLink"/>
                  <w:rFonts w:eastAsia="宋体" w:cs="Calibri"/>
                  <w:kern w:val="0"/>
                  <w:sz w:val="22"/>
                  <w:szCs w:val="22"/>
                  <w:lang w:val="en-US" w:eastAsia="zh-CN" w:bidi="ar-SA"/>
                </w:rPr>
                <w:t>https://venus.wis.ntu.edu.sg/GOAL/OnlineApplicationModule/frmOnlineApplication.ASPX</w:t>
              </w:r>
            </w:hyperlink>
            <w:r>
              <w:rPr>
                <w:rFonts w:eastAsia="宋体" w:cs="Calibri"/>
                <w:color w:val="000000"/>
                <w:kern w:val="0"/>
                <w:sz w:val="24"/>
                <w:szCs w:val="24"/>
                <w:lang w:val="en-US" w:eastAsia="zh-CN" w:bidi="ar-SA"/>
              </w:rPr>
              <w:b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altName w:val="Bold"/>
    <w:charset w:val="01"/>
    <w:family w:val="roman"/>
    <w:pitch w:val="variable"/>
  </w:font>
  <w:font w:name="Helvetica Neue">
    <w:altName w:val="sans-serif"/>
    <w:charset w:val="01"/>
    <w:family w:val="auto"/>
    <w:pitch w:val="default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Arial" w:hAnsi="Arial" w:cs="Arial"/>
        <w:color w:val="000000"/>
        <w:sz w:val="16"/>
        <w:szCs w:val="16"/>
      </w:rPr>
    </w:pPr>
    <w:r>
      <w:rPr>
        <w:rFonts w:cs="Arial" w:ascii="Arial" w:hAnsi="Arial"/>
        <w:color w:val="000000"/>
        <w:sz w:val="16"/>
        <w:szCs w:val="16"/>
      </w:rPr>
      <w:t>60 Nanyang Drive, Singapore 637551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Arial" w:hAnsi="Arial" w:cs="Arial"/>
        <w:color w:val="000000"/>
        <w:sz w:val="14"/>
        <w:szCs w:val="14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-304800</wp:posOffset>
          </wp:positionH>
          <wp:positionV relativeFrom="paragraph">
            <wp:posOffset>-123825</wp:posOffset>
          </wp:positionV>
          <wp:extent cx="4465955" cy="1228725"/>
          <wp:effectExtent l="0" t="0" r="0" b="0"/>
          <wp:wrapSquare wrapText="bothSides"/>
          <wp:docPr id="1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  <w:tab/>
      <w:tab/>
      <w:tab/>
      <w:tab/>
      <w:tab/>
      <w:tab/>
      <w:tab/>
      <w:tab/>
      <w:tab/>
      <w:tab/>
      <w:tab/>
      <w:tab/>
      <w:tab/>
      <w:tab/>
      <w:tab/>
    </w:r>
    <w:r>
      <w:rPr>
        <w:rFonts w:cs="Arial" w:ascii="Arial" w:hAnsi="Arial"/>
        <w:color w:val="000000"/>
        <w:sz w:val="14"/>
        <w:szCs w:val="14"/>
      </w:rPr>
      <w:t>Reg. No. 200604393R</w:t>
    </w:r>
  </w:p>
  <w:p>
    <w:pPr>
      <w:pStyle w:val="Header"/>
      <w:tabs>
        <w:tab w:val="clear" w:pos="4680"/>
        <w:tab w:val="clear" w:pos="9360"/>
        <w:tab w:val="left" w:pos="3987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276e4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276e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276e4"/>
    <w:rPr/>
  </w:style>
  <w:style w:type="character" w:styleId="InternetLink">
    <w:name w:val="Hyperlink"/>
    <w:basedOn w:val="DefaultParagraphFont"/>
    <w:uiPriority w:val="99"/>
    <w:unhideWhenUsed/>
    <w:rsid w:val="00ac766a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6c0381"/>
    <w:rPr>
      <w:color w:val="800080" w:themeColor="followedHyperlink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76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276e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276e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546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S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49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-SBS-GS@ntu.edu.sg" TargetMode="External"/><Relationship Id="rId3" Type="http://schemas.openxmlformats.org/officeDocument/2006/relationships/hyperlink" Target="https://venus.wis.ntu.edu.sg/GOAL/OnlineApplicationModule/frmOnlineApplication.ASP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E5C0ED541B46B5A477DE4AEA3C99" ma:contentTypeVersion="0" ma:contentTypeDescription="Create a new document." ma:contentTypeScope="" ma:versionID="9cd9585942215eaf2bf10be4687ea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220AC-221E-4A28-97FB-ACA393F8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C728A-42D3-42E6-B0F2-133EAAD0C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45E9E-76F5-4FC7-8013-75F259DCFD99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58477D14-CC1D-46FE-A5F8-ECD8D82BFB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Application>LibreOffice/7.3.7.2$Linux_X86_64 LibreOffice_project/30$Build-2</Application>
  <AppVersion>15.0000</AppVersion>
  <Pages>2</Pages>
  <Words>569</Words>
  <Characters>3685</Characters>
  <CharactersWithSpaces>4249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Khai Sian Victor</dc:creator>
  <dc:description/>
  <cp:lastModifiedBy/>
  <dcterms:created xsi:type="dcterms:W3CDTF">2023-09-22T01:33:00Z</dcterms:created>
  <dcterms:modified xsi:type="dcterms:W3CDTF">2024-09-19T05:11:52Z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0x010100AC06E5C0ED541B46B5A477DE4AEA3C99</vt:lpwstr>
  </property>
</Properties>
</file>